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>SASVITHA HOME FINANCE LIMITED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Sasvitha Home Finance Ltd is a </w:t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 fast growing Chennai based HFC with 22 branches , 75 employees and on an expansion track towards adding 15 branches  and 60 employees every year.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Position Open : </w:t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HR Manager/ Asst Manager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Experience : 3 - 5 years 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Education : Graduate, Post-graduate ( HR )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90" w:firstLineChars="5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Experience with HFCs / NBFCs / Banks / Financial Services preferred.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KEY DUTIES &amp; RESPONSIBILITIES OF THE ROLE 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- Ensure timely closure of Employee life cycle HR processes (e.g. Recruitment,  Screening, coordinating interviews, offer processing and post offer engagement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ransfer, Leave Request, Performance Management, Progressions, Salary revisions etc.) thereby influencing Employee Retention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- Optimally utilizing various Sourcing parameters/criteria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Use various channels / source of hiring through Job portal, Social Media Recruitment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 etc.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Adherence to budgets, recruitment cost, TATs.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 xml:space="preserve"> Closing positions within a defined turnaround time and as per requirements. Adherence to defined timelines with respect to Indent to Offer, Shortlisting to Offer, Offer to joining.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- Payroll ,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>PF / ESI / other statutory processing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Prepare periodic reports to track and monitor performance against manpower plan and budget, and accuracy of hiring and other performance metrics.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Ensure talent engagement &amp; development activities through Performance Management, Reward Management, Career Development, and Culture Building. Responsible for execution of HR initiatives, Employee engagement initiatives, along with managing employee relation activitie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s and Branch openings.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Adherence to timelines in creating employee codes, generation of appointment letters, issuance of ID cards, completion of employee file, post-employment verification, etc.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Communication of policies and practices to the employees for positive environment &amp; addressing their needs &amp; grievances through meetings, orientation etc.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Actively engaging with all employees of the region, identifying employee concerns/ behavior, raising red flag and report observations to the seniors. Conducting Exit interviews.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SKILLS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-Strong analytical ability &amp; eye for detail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 xml:space="preserve">- Ability to influence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Excellent Communication and Written skills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- Proficient in Microsoft Office suite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Openness to travel, as required.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Functional Areas: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</w:rPr>
        <w:t> HR &amp; Admi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>in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Send your resumes to 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instrText xml:space="preserve"> HYPERLINK "mailto:hr@sasvithahome.com" </w:instrTex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18"/>
          <w:szCs w:val="18"/>
          <w:bdr w:val="none" w:color="auto" w:sz="0" w:space="0"/>
          <w:lang w:val="en-IN"/>
        </w:rPr>
        <w:t>hr@sasvithahome.com</w:t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bdr w:val="none" w:color="auto" w:sz="0" w:space="0"/>
          <w:lang w:val="en-IN"/>
        </w:rPr>
        <w:t xml:space="preserve">   (or)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Apply online : </w:t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fldChar w:fldCharType="begin"/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instrText xml:space="preserve"> HYPERLINK "http://www.sasvithahome.com" </w:instrText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fldChar w:fldCharType="separate"/>
      </w:r>
      <w:r>
        <w:rPr>
          <w:rStyle w:val="4"/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>www.sasvithahome.com</w:t>
      </w: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B03A5"/>
    <w:rsid w:val="17DB4BC9"/>
    <w:rsid w:val="38E367C7"/>
    <w:rsid w:val="468B03A5"/>
    <w:rsid w:val="4CBC3B05"/>
    <w:rsid w:val="750B717B"/>
    <w:rsid w:val="761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2023-02-18T05:40:00Z</dcterms:created>
  <dc:creator>User</dc:creator>
  <cp:lastModifiedBy>User</cp:lastModifiedBy>
  <dcterms:modified xsi:type="dcterms:W3CDTF">2023-02-18T06:52:24Z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541A2D56F57040C1AD54D1EA37230835</vt:lpwstr>
  </property>
</Properties>
</file>